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52A8">
      <w:pPr>
        <w:pStyle w:val="1"/>
      </w:pPr>
      <w:hyperlink r:id="rId5" w:history="1">
        <w:r>
          <w:rPr>
            <w:rStyle w:val="a4"/>
            <w:b w:val="0"/>
            <w:bCs w:val="0"/>
          </w:rPr>
          <w:t>Приказ Министерства экономического развития РФ от 31 мая 2017 г. N 262</w:t>
        </w:r>
        <w:r>
          <w:rPr>
            <w:rStyle w:val="a4"/>
            <w:b w:val="0"/>
            <w:bCs w:val="0"/>
          </w:rPr>
          <w:br/>
          <w:t>"Об утверждении Порядка ведения реестров субъектов малого и среднего предпринимательства - получателей поддержки и Требований к технологическим, программным, лингвистическим, правовым и</w:t>
        </w:r>
        <w:r>
          <w:rPr>
            <w:rStyle w:val="a4"/>
            <w:b w:val="0"/>
            <w:bCs w:val="0"/>
          </w:rPr>
          <w:t xml:space="preserve"> организационным средствам обеспечения пользования указанными реестрами"</w:t>
        </w:r>
      </w:hyperlink>
    </w:p>
    <w:p w:rsidR="00000000" w:rsidRDefault="002C52A8"/>
    <w:p w:rsidR="00000000" w:rsidRDefault="002C52A8">
      <w:r>
        <w:t xml:space="preserve">В соответствии с </w:t>
      </w:r>
      <w:hyperlink r:id="rId6" w:history="1">
        <w:r>
          <w:rPr>
            <w:rStyle w:val="a4"/>
          </w:rPr>
          <w:t>частью 4 статьи 8</w:t>
        </w:r>
      </w:hyperlink>
      <w:r>
        <w:t xml:space="preserve"> Федерального закона от 24 июля 2007 г. N </w:t>
      </w:r>
      <w:r>
        <w:t xml:space="preserve">209-ФЗ "О развитии малого и среднего предпринимательства в Российской Федерации" (Собрание законодательства Российской Федерации, 2007, N 31, ст. 4006; 2008, N 30, ст. 3616; 2016, N 1, ст. 28; N 27, ст. 4198) и </w:t>
      </w:r>
      <w:hyperlink r:id="rId7" w:history="1">
        <w:r>
          <w:rPr>
            <w:rStyle w:val="a4"/>
          </w:rPr>
          <w:t>пунктом 5.2.28.35</w:t>
        </w:r>
      </w:hyperlink>
      <w:r>
        <w:t xml:space="preserve"> Положения о Министерстве экономического развития Российской Федерации, утвержденного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июня 2008 г. </w:t>
      </w:r>
      <w:r>
        <w:t>N 437 (Собрание законодательства Российской Федерации, 2008, N 24, ст. 2867; 2009, N 3, ст. 378), приказываю:</w:t>
      </w:r>
    </w:p>
    <w:p w:rsidR="00000000" w:rsidRDefault="002C52A8">
      <w:r>
        <w:t>Утвердить прилагаемые:</w:t>
      </w:r>
    </w:p>
    <w:p w:rsidR="00000000" w:rsidRDefault="002C52A8">
      <w:r>
        <w:t>Порядок ведения реестров субъектов малого и среднего предпринимательства - получателей поддержки (</w:t>
      </w:r>
      <w:hyperlink w:anchor="sub_1000" w:history="1">
        <w:r>
          <w:rPr>
            <w:rStyle w:val="a4"/>
          </w:rPr>
          <w:t>пр</w:t>
        </w:r>
        <w:r>
          <w:rPr>
            <w:rStyle w:val="a4"/>
          </w:rPr>
          <w:t>иложение N 1</w:t>
        </w:r>
      </w:hyperlink>
      <w:r>
        <w:t>);</w:t>
      </w:r>
    </w:p>
    <w:p w:rsidR="00000000" w:rsidRDefault="002C52A8">
      <w:r>
        <w:t>Требования к технологическим, программным, лингвистическим, правовым и организационным средствам обеспечения пользования реестрами субъектов малого и среднего предпринимательства - получателей поддержки (</w:t>
      </w:r>
      <w:hyperlink w:anchor="sub_2000" w:history="1">
        <w:r>
          <w:rPr>
            <w:rStyle w:val="a4"/>
          </w:rPr>
          <w:t xml:space="preserve">приложение </w:t>
        </w:r>
        <w:r>
          <w:rPr>
            <w:rStyle w:val="a4"/>
          </w:rPr>
          <w:t>N 2</w:t>
        </w:r>
      </w:hyperlink>
      <w:r>
        <w:t>).</w:t>
      </w:r>
    </w:p>
    <w:p w:rsidR="00000000" w:rsidRDefault="002C52A8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52A8">
            <w:pPr>
              <w:pStyle w:val="a6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52A8">
            <w:pPr>
              <w:pStyle w:val="a5"/>
              <w:jc w:val="right"/>
            </w:pPr>
            <w:r>
              <w:t>М.С. Орешкин</w:t>
            </w:r>
          </w:p>
        </w:tc>
      </w:tr>
    </w:tbl>
    <w:p w:rsidR="00000000" w:rsidRDefault="002C52A8"/>
    <w:p w:rsidR="00000000" w:rsidRDefault="002C52A8">
      <w:pPr>
        <w:pStyle w:val="a6"/>
      </w:pPr>
      <w:r>
        <w:t>Зарегистрировано в Минюсте РФ 11 августа 2017 г.</w:t>
      </w:r>
    </w:p>
    <w:p w:rsidR="00000000" w:rsidRDefault="002C52A8">
      <w:pPr>
        <w:pStyle w:val="a6"/>
      </w:pPr>
      <w:r>
        <w:t>Регистрационный N 47753</w:t>
      </w:r>
    </w:p>
    <w:p w:rsidR="00000000" w:rsidRDefault="002C52A8"/>
    <w:p w:rsidR="00000000" w:rsidRDefault="002C52A8">
      <w:pPr>
        <w:ind w:firstLine="698"/>
        <w:jc w:val="right"/>
      </w:pPr>
      <w:bookmarkStart w:id="0" w:name="sub_1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31.05.2017 N 262</w:t>
      </w:r>
    </w:p>
    <w:bookmarkEnd w:id="0"/>
    <w:p w:rsidR="00000000" w:rsidRDefault="002C52A8"/>
    <w:p w:rsidR="00000000" w:rsidRDefault="002C52A8">
      <w:pPr>
        <w:pStyle w:val="1"/>
      </w:pPr>
      <w:r>
        <w:t>Порядок</w:t>
      </w:r>
      <w:r>
        <w:br/>
        <w:t>ведения реестров субъектов мало</w:t>
      </w:r>
      <w:r>
        <w:t>го и среднего предпринимательства - получателей поддержки</w:t>
      </w:r>
    </w:p>
    <w:p w:rsidR="00000000" w:rsidRDefault="002C52A8"/>
    <w:p w:rsidR="00000000" w:rsidRDefault="002C52A8">
      <w:pPr>
        <w:pStyle w:val="1"/>
      </w:pPr>
      <w:bookmarkStart w:id="1" w:name="sub_110"/>
      <w:r>
        <w:t>I. Общие положения</w:t>
      </w:r>
    </w:p>
    <w:bookmarkEnd w:id="1"/>
    <w:p w:rsidR="00000000" w:rsidRDefault="002C52A8"/>
    <w:p w:rsidR="00000000" w:rsidRDefault="002C52A8">
      <w:bookmarkStart w:id="2" w:name="sub_1001"/>
      <w:r>
        <w:t>1. Настоящий Порядок определяет правила ведения реестров субъектов малого и среднего предпринимательства - получателей поддержки, оказываемой федеральными органами исполнительной власти, органами исполнительной власти субъектов Российской Федерации, органа</w:t>
      </w:r>
      <w:r>
        <w:t>ми местного самоуправления, акционерным обществом "Федеральная корпорация по развитию малого и среднего предпринимательства", его дочерними обществами, организациями, образующими инфраструктуру поддержки субъектов малого и среднего предпринимательства (дал</w:t>
      </w:r>
      <w:r>
        <w:t>ее соответственно - реестры, органы, Корпорация, организации, получатели поддержки).</w:t>
      </w:r>
    </w:p>
    <w:p w:rsidR="00000000" w:rsidRDefault="002C52A8">
      <w:bookmarkStart w:id="3" w:name="sub_1002"/>
      <w:bookmarkEnd w:id="2"/>
      <w:r>
        <w:t>2. Реестры ведутся в электронном виде с соблюдением Требований к технологическим, программным, лингвистическим, правовым и организационным средствам обеспе</w:t>
      </w:r>
      <w:r>
        <w:t xml:space="preserve">чения пользования реестрами, установленных в </w:t>
      </w:r>
      <w:hyperlink w:anchor="sub_2000" w:history="1">
        <w:r>
          <w:rPr>
            <w:rStyle w:val="a4"/>
          </w:rPr>
          <w:t>приложении N 2</w:t>
        </w:r>
      </w:hyperlink>
      <w:r>
        <w:t xml:space="preserve"> к настоящему приказу.</w:t>
      </w:r>
    </w:p>
    <w:p w:rsidR="00000000" w:rsidRDefault="002C52A8">
      <w:bookmarkStart w:id="4" w:name="sub_1003"/>
      <w:bookmarkEnd w:id="3"/>
      <w:r>
        <w:t>3. Ведение реестров, в том числе включение (исключение) в реестры сведений о получателях поддержки, осуществляется органами, Корпора</w:t>
      </w:r>
      <w:r>
        <w:t xml:space="preserve">цией и ее дочерними обществами, организациями с соблюдением требований, установленных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от 27 июля 2006 г. N 149-ФЗ "Об информации, информационных технологиях и о защите информ</w:t>
      </w:r>
      <w:r>
        <w:t xml:space="preserve">ации" </w:t>
      </w:r>
      <w:r>
        <w:lastRenderedPageBreak/>
        <w:t>(Собрание законодательства Российской Федерации, 2006, N 31, ст. 3448; 2010, N 31, ст. 4196; 2011, N 15, ст. 2038; N 30, ст. 4600; 2012, N 31, ст. 4328; 2013, N 14, ст. 1658; N 23, ст. 2870; N 27, ст. 3479; N 52, ст. 6961, 6963; 2014, N 19, ст. 2302;</w:t>
      </w:r>
      <w:r>
        <w:t xml:space="preserve"> N 30, ст. 4223, 4243; N 48, ст. 6645; 2015, N 1, ст. 84; N 27, ст. 3979; N 29, ст. 4389, 4390; 2016, N 26, ст. 3877; N 28, ст. 4558; N 52, ст. 7491).</w:t>
      </w:r>
    </w:p>
    <w:p w:rsidR="00000000" w:rsidRDefault="002C52A8">
      <w:bookmarkStart w:id="5" w:name="sub_1004"/>
      <w:bookmarkEnd w:id="4"/>
      <w:r>
        <w:t xml:space="preserve">4. В реестрах содержатся сведения, указанные в </w:t>
      </w:r>
      <w:hyperlink r:id="rId10" w:history="1">
        <w:r>
          <w:rPr>
            <w:rStyle w:val="a4"/>
          </w:rPr>
          <w:t>части 2 статьи 8</w:t>
        </w:r>
      </w:hyperlink>
      <w:r>
        <w:t xml:space="preserve"> Федерального закона от 24 июля 2007 г. N 209-ФЗ "О развитии малого и среднего предпринимательства в Российской Федерации" (Собрание законодательства Российской Федерации, 2007, N 31, ст. 4006; 2008, N 30, ст. 3616; 201</w:t>
      </w:r>
      <w:r>
        <w:t xml:space="preserve">6, N 1, ст. 28; N 27, ст. 4198). Рекомендуемый образец реестра приведен в </w:t>
      </w:r>
      <w:hyperlink w:anchor="sub_1100" w:history="1">
        <w:r>
          <w:rPr>
            <w:rStyle w:val="a4"/>
          </w:rPr>
          <w:t>приложении</w:t>
        </w:r>
      </w:hyperlink>
      <w:r>
        <w:t xml:space="preserve"> к настоящему Порядку.</w:t>
      </w:r>
    </w:p>
    <w:p w:rsidR="00000000" w:rsidRDefault="002C52A8">
      <w:bookmarkStart w:id="6" w:name="sub_1005"/>
      <w:bookmarkEnd w:id="5"/>
      <w:r>
        <w:t>5. Сведения, содержащиеся в реестрах, являются открытыми для ознакомления с ними физических и юридических л</w:t>
      </w:r>
      <w:r>
        <w:t>иц и размещаются на официальных сайтах органов, Корпорации, ее дочерних обществ, организаций в информационно-телекоммуникационной сети "Интернет", в том числе в форме открытых данных.</w:t>
      </w:r>
    </w:p>
    <w:bookmarkEnd w:id="6"/>
    <w:p w:rsidR="00000000" w:rsidRDefault="002C52A8"/>
    <w:p w:rsidR="00000000" w:rsidRDefault="002C52A8">
      <w:pPr>
        <w:pStyle w:val="1"/>
      </w:pPr>
      <w:bookmarkStart w:id="7" w:name="sub_120"/>
      <w:r>
        <w:t>II. Порядок внесения в реестры сведений о получателях по</w:t>
      </w:r>
      <w:r>
        <w:t>ддержки и исключения из реестров сведений о получателях поддержки</w:t>
      </w:r>
    </w:p>
    <w:bookmarkEnd w:id="7"/>
    <w:p w:rsidR="00000000" w:rsidRDefault="002C52A8"/>
    <w:p w:rsidR="00000000" w:rsidRDefault="002C52A8">
      <w:bookmarkStart w:id="8" w:name="sub_1006"/>
      <w:r>
        <w:t>6. Сведения о получателе поддержки, включаемые в реестры, образуют реестровую запись.</w:t>
      </w:r>
    </w:p>
    <w:p w:rsidR="00000000" w:rsidRDefault="002C52A8">
      <w:bookmarkStart w:id="9" w:name="sub_1007"/>
      <w:bookmarkEnd w:id="8"/>
      <w:r>
        <w:t>7. Орган, Корпорация, ее дочернее общество, организация в течение 30 дне</w:t>
      </w:r>
      <w:r>
        <w:t>й со дня принятия решения об оказании поддержки или о прекращении оказания поддержки вносят записи в реестр в отношении соответствующего субъекта малого и среднего предпринимательства.</w:t>
      </w:r>
    </w:p>
    <w:p w:rsidR="00000000" w:rsidRDefault="002C52A8">
      <w:bookmarkStart w:id="10" w:name="sub_1008"/>
      <w:bookmarkEnd w:id="9"/>
      <w:r>
        <w:t>8. В случае отсутствия у органа, Корпорации, ее дочерне</w:t>
      </w:r>
      <w:r>
        <w:t>го общества, организации всех сведений о получателе приведен поддержки, необходимых для включения в реестровую запись, либо выявления несоответствия в таких сведениях, орган, Корпорация, ее дочернее общество, организация посредством направления запроса пол</w:t>
      </w:r>
      <w:r>
        <w:t xml:space="preserve">учателю поддержки обеспечивают получение указанных сведений и внесение соответствующих записей в реестр в пределах срока, установленного </w:t>
      </w:r>
      <w:hyperlink w:anchor="sub_1007" w:history="1">
        <w:r>
          <w:rPr>
            <w:rStyle w:val="a4"/>
          </w:rPr>
          <w:t>пунктом 7</w:t>
        </w:r>
      </w:hyperlink>
      <w:r>
        <w:t xml:space="preserve"> настоящего Порядка.</w:t>
      </w:r>
    </w:p>
    <w:p w:rsidR="00000000" w:rsidRDefault="002C52A8">
      <w:bookmarkStart w:id="11" w:name="sub_1009"/>
      <w:bookmarkEnd w:id="10"/>
      <w:r>
        <w:t>9. Орган, Корпорация, ее дочернее общество, орг</w:t>
      </w:r>
      <w:r>
        <w:t>анизация вносят изменения в реестровую запись о получателе поддержки в течение 10 рабочих дней со дня предоставления получателем поддержки информации об изменении сведений, содержащихся в реестре.</w:t>
      </w:r>
    </w:p>
    <w:p w:rsidR="00000000" w:rsidRDefault="002C52A8">
      <w:bookmarkStart w:id="12" w:name="sub_1010"/>
      <w:bookmarkEnd w:id="11"/>
      <w:r>
        <w:t>10. Реестровые записи при их создании (искл</w:t>
      </w:r>
      <w:r>
        <w:t>ючении), изменения, которые вносятся в реестровые записи, а также электронные журналы учета операций, выполненных с помощью информационной системы ведения реестров, резервные копии реестров на электронных носителях должны быть подписаны представителем орга</w:t>
      </w:r>
      <w:r>
        <w:t xml:space="preserve">на, Корпорации, ее дочернего общества, организации, имеющим соответствующие полномочия, с использованием усиленной </w:t>
      </w:r>
      <w:hyperlink r:id="rId11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или иного аналога собственноручной подпи</w:t>
      </w:r>
      <w:r>
        <w:t>си.</w:t>
      </w:r>
    </w:p>
    <w:p w:rsidR="00000000" w:rsidRDefault="002C52A8">
      <w:bookmarkStart w:id="13" w:name="sub_1011"/>
      <w:bookmarkEnd w:id="12"/>
      <w:r>
        <w:t>11. Реестровая запись, содержащая сведения о получателе поддержки, исключается из реестра органом, Корпорацией, ее дочерним обществом, организацией по истечении трех лет с даты окончания срока оказания поддержки на основании решения орг</w:t>
      </w:r>
      <w:r>
        <w:t>ана, Корпорации, ее дочернего общества, организации.</w:t>
      </w:r>
    </w:p>
    <w:p w:rsidR="00000000" w:rsidRDefault="002C52A8">
      <w:bookmarkStart w:id="14" w:name="sub_1012"/>
      <w:bookmarkEnd w:id="13"/>
      <w:r>
        <w:t xml:space="preserve">12. Электронные журналы учета операций, выполненных с помощью информационных систем ведения реестров, резервные копии реестров на электронных носителях хранятся органами, Корпорацией, ее </w:t>
      </w:r>
      <w:r>
        <w:t xml:space="preserve">дочерними обществами, организациями в соответствии с </w:t>
      </w:r>
      <w:hyperlink r:id="rId1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архивном деле.</w:t>
      </w:r>
    </w:p>
    <w:bookmarkEnd w:id="14"/>
    <w:p w:rsidR="00000000" w:rsidRDefault="002C52A8"/>
    <w:p w:rsidR="00000000" w:rsidRDefault="002C52A8">
      <w:pPr>
        <w:ind w:firstLine="698"/>
        <w:jc w:val="right"/>
      </w:pPr>
      <w:bookmarkStart w:id="15" w:name="sub_11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ведения реестров с</w:t>
      </w:r>
      <w:r>
        <w:rPr>
          <w:rStyle w:val="a3"/>
        </w:rPr>
        <w:t>убъектов</w:t>
      </w:r>
      <w:r>
        <w:rPr>
          <w:rStyle w:val="a3"/>
        </w:rPr>
        <w:br/>
        <w:t>малого и среднего предпринимательства -</w:t>
      </w:r>
      <w:r>
        <w:rPr>
          <w:rStyle w:val="a3"/>
        </w:rPr>
        <w:br/>
        <w:t>получателей поддержки,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31.05./2017 N 262</w:t>
      </w:r>
    </w:p>
    <w:bookmarkEnd w:id="15"/>
    <w:p w:rsidR="00000000" w:rsidRDefault="002C52A8"/>
    <w:p w:rsidR="00000000" w:rsidRDefault="002C52A8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2C52A8">
      <w:pPr>
        <w:ind w:firstLine="698"/>
        <w:jc w:val="right"/>
      </w:pPr>
      <w:r>
        <w:rPr>
          <w:rStyle w:val="a3"/>
        </w:rPr>
        <w:lastRenderedPageBreak/>
        <w:t>Рекомендуемый образец</w:t>
      </w:r>
    </w:p>
    <w:p w:rsidR="00000000" w:rsidRDefault="002C52A8"/>
    <w:p w:rsidR="00000000" w:rsidRDefault="002C52A8">
      <w:pPr>
        <w:pStyle w:val="1"/>
      </w:pPr>
      <w:r>
        <w:t>Реестр</w:t>
      </w:r>
      <w:r>
        <w:br/>
        <w:t>субъектов малого и среднего пред</w:t>
      </w:r>
      <w:r>
        <w:t>принимательства - получателей поддержки</w:t>
      </w:r>
      <w:r>
        <w:br/>
        <w:t>(наименование органа, организации, предоставивших поддержку, указание на то, что поддержка оказана акционерным обществом "Федеральная корпорация по развитию малого и среднего предпринимательства", его дочерним общест</w:t>
      </w:r>
      <w:r>
        <w:t>вом)</w:t>
      </w:r>
    </w:p>
    <w:p w:rsidR="00000000" w:rsidRDefault="002C52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8"/>
        <w:gridCol w:w="1742"/>
        <w:gridCol w:w="1939"/>
        <w:gridCol w:w="2106"/>
        <w:gridCol w:w="1287"/>
        <w:gridCol w:w="1274"/>
        <w:gridCol w:w="1306"/>
        <w:gridCol w:w="1401"/>
        <w:gridCol w:w="26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  <w:jc w:val="center"/>
            </w:pPr>
            <w:bookmarkStart w:id="16" w:name="sub_100"/>
            <w:r>
              <w:t>Номер реестровой записи и дата включения сведений в реестр</w:t>
            </w:r>
            <w:bookmarkEnd w:id="16"/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  <w:jc w:val="center"/>
            </w:pPr>
            <w:r>
              <w:t>Дата принятия решения о предоставлении или прекращении оказания поддержки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  <w:jc w:val="center"/>
            </w:pPr>
            <w: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  <w:jc w:val="center"/>
            </w:pPr>
            <w:r>
              <w:t>Сведения о предоставленной поддержке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52A8">
            <w:pPr>
              <w:pStyle w:val="a5"/>
              <w:jc w:val="center"/>
            </w:pPr>
            <w: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  <w:jc w:val="center"/>
            </w:pPr>
            <w:r>
              <w:t>наименование юридического лица или фамилия, имя и (при наличии) отчество индив</w:t>
            </w:r>
            <w:r>
              <w:t>идуального предпринимателя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  <w:jc w:val="center"/>
            </w:pPr>
            <w:r>
              <w:t>форма поддержки</w:t>
            </w:r>
            <w:hyperlink w:anchor="sub_1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  <w:jc w:val="center"/>
            </w:pPr>
            <w:r>
              <w:t>вид поддержки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  <w:jc w:val="center"/>
            </w:pPr>
            <w:r>
              <w:t>размер поддержки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  <w:jc w:val="center"/>
            </w:pPr>
            <w:r>
              <w:t>срок оказания поддержки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52A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  <w:jc w:val="center"/>
            </w:pPr>
            <w: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  <w:jc w:val="center"/>
            </w:pPr>
            <w: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  <w:jc w:val="center"/>
            </w:pPr>
            <w: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  <w:jc w:val="center"/>
            </w:pPr>
            <w: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  <w:jc w:val="center"/>
            </w:pPr>
            <w: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  <w:jc w:val="center"/>
            </w:pPr>
            <w: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  <w:jc w:val="center"/>
            </w:pPr>
            <w: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52A8">
            <w:pPr>
              <w:pStyle w:val="a5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C52A8">
            <w:pPr>
              <w:pStyle w:val="1"/>
            </w:pPr>
            <w:bookmarkStart w:id="17" w:name="sub_1101"/>
            <w:r>
              <w:t>I. Микропредприятия</w:t>
            </w:r>
            <w:bookmarkEnd w:id="1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52A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C52A8">
            <w:pPr>
              <w:pStyle w:val="1"/>
            </w:pPr>
            <w:bookmarkStart w:id="18" w:name="sub_1102"/>
            <w:r>
              <w:t>II. Субъекты малого предпринимательства (за исключением микропредприятий)</w:t>
            </w:r>
            <w:bookmarkEnd w:id="1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52A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C52A8">
            <w:pPr>
              <w:pStyle w:val="1"/>
            </w:pPr>
            <w:bookmarkStart w:id="19" w:name="sub_1103"/>
            <w:r>
              <w:t>III. Субъекты среднего предпринимательства</w:t>
            </w:r>
            <w:bookmarkEnd w:id="1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52A8">
            <w:pPr>
              <w:pStyle w:val="a5"/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52A8">
            <w:pPr>
              <w:pStyle w:val="a5"/>
            </w:pPr>
          </w:p>
        </w:tc>
      </w:tr>
    </w:tbl>
    <w:p w:rsidR="00000000" w:rsidRDefault="002C52A8"/>
    <w:p w:rsidR="00000000" w:rsidRDefault="002C52A8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C52A8">
      <w:pPr>
        <w:pStyle w:val="a6"/>
      </w:pPr>
      <w:r>
        <w:lastRenderedPageBreak/>
        <w:t>_____________________________</w:t>
      </w:r>
    </w:p>
    <w:p w:rsidR="00000000" w:rsidRDefault="002C52A8">
      <w:bookmarkStart w:id="20" w:name="sub_1111"/>
      <w:r>
        <w:t xml:space="preserve">*(1) Указывается одна из следующих форм поддержки, предусмотренная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от 24 июля 2007 г. N 209-ФЗ "О развитии мало</w:t>
      </w:r>
      <w:r>
        <w:t>го и среднего предпринимательства в Российской Федерации": финансовая, имущественная, консультационная или поддержка в сфере образования (Собрание законодательства Российской Федерации, 2007, N 31, ст. 4006; 2008, N 30, ст. 3615, ст. 3616; 2009, N 31, ст. </w:t>
      </w:r>
      <w:r>
        <w:t>3923, N 52, ст. 6441; 2010, N 28, ст. 3553; 2011, N 27, ст. 3880, N 50, ст. 7343; 2013, N 27, ст. 3436, ст. 3477; N 30, ст. 4071, N 52, ст. 6961; 2015, N 27, ст. 3947; 2016, N 1, ст. 28; N 26, ст. 3891; N 27, ст. 4198).</w:t>
      </w:r>
    </w:p>
    <w:p w:rsidR="00000000" w:rsidRDefault="002C52A8">
      <w:bookmarkStart w:id="21" w:name="sub_2222"/>
      <w:bookmarkEnd w:id="20"/>
      <w:r>
        <w:t>*(2) Указывается оди</w:t>
      </w:r>
      <w:r>
        <w:t>н из следующих видов поддержки применительно к соответствующей форме поддержки:</w:t>
      </w:r>
    </w:p>
    <w:bookmarkEnd w:id="21"/>
    <w:p w:rsidR="00000000" w:rsidRDefault="002C52A8">
      <w:r>
        <w:t>1) финансовая поддержка: предоставление субсидии на финансовое обеспечение затрат и (или) на возмещение понесенных затрат в связи с производством (реализацией) товаров,</w:t>
      </w:r>
      <w:r>
        <w:t xml:space="preserve"> выполнением работ, оказанием услуг с указанием вида субсидируемых затрат (например, на уплату платежей по займам, кредитам, лизинговым платежам, оплату консультационных услуг); предоставление гарантии (поручительства), в том числе государственной или муни</w:t>
      </w:r>
      <w:r>
        <w:t>ципальной гарантии; предоставление бюджетных инвестиций; предоставление займа;</w:t>
      </w:r>
    </w:p>
    <w:p w:rsidR="00000000" w:rsidRDefault="002C52A8">
      <w:r>
        <w:t>2) имущественная поддержка: предоставл</w:t>
      </w:r>
      <w:r>
        <w:t xml:space="preserve">ение во владение и (или) в пользование имущества, возмездное отчуждение недвижимого имущества в собственность субъектов малого и среднего предпринимательства в соответствии с </w:t>
      </w:r>
      <w:hyperlink r:id="rId14" w:history="1">
        <w:r>
          <w:rPr>
            <w:rStyle w:val="a4"/>
          </w:rPr>
          <w:t>Федеральным законом</w:t>
        </w:r>
      </w:hyperlink>
      <w:r>
        <w:t xml:space="preserve"> от 22 июля 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</w:t>
      </w:r>
      <w:r>
        <w:t>о внесении изменений в отдельные законодательные акты Российской Федерации" (Собрание законодательства Российской Федерации, 2008, N 30, ст. 3615; 2013, N 27, ст. 3436; 2015, N 27, ст. 3949), включая сведения о виде предоставляемого имущества (движимое, не</w:t>
      </w:r>
      <w:r>
        <w:t>движимое), наименовании имущества в соответствии с кадастровой или технической документацией;</w:t>
      </w:r>
    </w:p>
    <w:p w:rsidR="00000000" w:rsidRDefault="002C52A8">
      <w:r>
        <w:t>3) консультационная поддержка: оказание индивидуальных очных консультационных услуг по вопросам финансового планирования, маркетингового сопровождения деятельност</w:t>
      </w:r>
      <w:r>
        <w:t xml:space="preserve">и, бизнес-планирования, правового обеспечения, подбора персонала, применения </w:t>
      </w:r>
      <w:hyperlink r:id="rId15" w:history="1">
        <w:r>
          <w:rPr>
            <w:rStyle w:val="a4"/>
          </w:rPr>
          <w:t>трудового законодательства</w:t>
        </w:r>
      </w:hyperlink>
      <w:r>
        <w:t xml:space="preserve"> Российской Федерации, иным вопросам в целях содействия развитию деятельности субъектов мал</w:t>
      </w:r>
      <w:r>
        <w:t>ого и среднего предпринимательства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развитие субъектов малого и среднего предпринимательства;</w:t>
      </w:r>
    </w:p>
    <w:p w:rsidR="00000000" w:rsidRDefault="002C52A8">
      <w:r>
        <w:t>4) подд</w:t>
      </w:r>
      <w:r>
        <w:t xml:space="preserve">ержка в сфере образования: реализация образовательной программы для предпринимателей, реализация мероприятия по обучению субъектов малого и среднего предпринимательства, включая сведения о формате реализации такого мероприятия (например, семинар, тренинг, </w:t>
      </w:r>
      <w:r>
        <w:t>лекция).</w:t>
      </w:r>
    </w:p>
    <w:p w:rsidR="00000000" w:rsidRDefault="002C52A8">
      <w:bookmarkStart w:id="22" w:name="sub_3333"/>
      <w:r>
        <w:t>*(3) Указываются:</w:t>
      </w:r>
    </w:p>
    <w:bookmarkEnd w:id="22"/>
    <w:p w:rsidR="00000000" w:rsidRDefault="002C52A8">
      <w:r>
        <w:t>1) для финансовой поддержки: размер субсидии на финансовое обеспечение затрат и (или) на возмещение понесенных затрат в связи с производством (реализацией) товаров, выполнением работ, оказанием услуг (тыс. рублей)</w:t>
      </w:r>
      <w:r>
        <w:t>; размер гарантии (поручительства) (тыс. рублей); размер бюджетных инвестиций (тыс. рублей); размер процентной ставки по займу (в процентах);</w:t>
      </w:r>
    </w:p>
    <w:p w:rsidR="00000000" w:rsidRDefault="002C52A8">
      <w:r>
        <w:t>2) для имущественной поддержки: размер льготы по уплате арендной платы за весь предусмотренный договором срок арен</w:t>
      </w:r>
      <w:r>
        <w:t xml:space="preserve">ды недвижимого или движимого имущества (в рублях как разница между арендной платой, определенной по результатам оценки рыночной стоимости объекта, проводимой в соответствии с </w:t>
      </w:r>
      <w:hyperlink r:id="rId16" w:history="1">
        <w:r>
          <w:rPr>
            <w:rStyle w:val="a4"/>
          </w:rPr>
          <w:t>законодательством</w:t>
        </w:r>
      </w:hyperlink>
      <w:r>
        <w:t xml:space="preserve">, </w:t>
      </w:r>
      <w:r>
        <w:t>регулирующим оценочную деятельность в Российской Федерации, и арендной платой по договору, за весь срок аренды), площадь переданного на праве аренды или безвозмездного пользования приобретаемого по договору купли-продажи недвижимого имущества (кв. м.), кол</w:t>
      </w:r>
      <w:r>
        <w:t xml:space="preserve">ичество переданного на праве аренды или </w:t>
      </w:r>
      <w:r>
        <w:lastRenderedPageBreak/>
        <w:t>безвозмездного пользования движимого имущества (ед.);</w:t>
      </w:r>
    </w:p>
    <w:p w:rsidR="00000000" w:rsidRDefault="002C52A8">
      <w:r>
        <w:t>3) для консультационной поддержки и поддержки в сфере образования: продолжительность (в часах) индивидуальных очных консультаций;</w:t>
      </w:r>
    </w:p>
    <w:p w:rsidR="00000000" w:rsidRDefault="002C52A8">
      <w:r>
        <w:t>4) для поддержки в сфере образов</w:t>
      </w:r>
      <w:r>
        <w:t>ания: продолжительность (в часах) образовательной программы, мероприятия по обучению субъекта малого и среднего предпринимательства.</w:t>
      </w:r>
    </w:p>
    <w:p w:rsidR="00000000" w:rsidRDefault="002C52A8">
      <w:bookmarkStart w:id="23" w:name="sub_4444"/>
      <w:r>
        <w:t>*(4) Указывается дата окончания оказания поддержки:</w:t>
      </w:r>
    </w:p>
    <w:bookmarkEnd w:id="23"/>
    <w:p w:rsidR="00000000" w:rsidRDefault="002C52A8">
      <w:r>
        <w:t>- для поддержки, предоставляемой по соглашению (договор</w:t>
      </w:r>
      <w:r>
        <w:t>у), в соответствии с предусмотренным таким соглашением (договором) сроком;</w:t>
      </w:r>
    </w:p>
    <w:p w:rsidR="00000000" w:rsidRDefault="002C52A8">
      <w:r>
        <w:t>- для остальных видов поддержки, если срок предусмотрен решением о предоставлении поддержки.</w:t>
      </w:r>
    </w:p>
    <w:p w:rsidR="00000000" w:rsidRDefault="002C52A8">
      <w:r>
        <w:t>В случае если поддержка оказана в день принятия решения о ее предоставлении, срок ее ока</w:t>
      </w:r>
      <w:r>
        <w:t>зания совпадает с указанным днем.</w:t>
      </w:r>
    </w:p>
    <w:p w:rsidR="00000000" w:rsidRDefault="002C52A8"/>
    <w:p w:rsidR="00000000" w:rsidRDefault="002C52A8">
      <w:pPr>
        <w:ind w:firstLine="698"/>
        <w:jc w:val="right"/>
      </w:pPr>
      <w:bookmarkStart w:id="24" w:name="sub_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31.05.2017 N 262</w:t>
      </w:r>
    </w:p>
    <w:bookmarkEnd w:id="24"/>
    <w:p w:rsidR="00000000" w:rsidRDefault="002C52A8"/>
    <w:p w:rsidR="00000000" w:rsidRDefault="002C52A8">
      <w:pPr>
        <w:pStyle w:val="1"/>
      </w:pPr>
      <w:r>
        <w:t>Требования</w:t>
      </w:r>
      <w:r>
        <w:br/>
        <w:t>к технологическим, программным, лингвистическим, правовым и организационным средствам обеспечения по</w:t>
      </w:r>
      <w:r>
        <w:t>льзования реестрами субъектов малого и среднего предпринимательства - получателей поддержки</w:t>
      </w:r>
    </w:p>
    <w:p w:rsidR="00000000" w:rsidRDefault="002C52A8"/>
    <w:p w:rsidR="00000000" w:rsidRDefault="002C52A8">
      <w:pPr>
        <w:pStyle w:val="1"/>
      </w:pPr>
      <w:bookmarkStart w:id="25" w:name="sub_210"/>
      <w:r>
        <w:t>I. Требования к технологическим и программным средствам</w:t>
      </w:r>
    </w:p>
    <w:bookmarkEnd w:id="25"/>
    <w:p w:rsidR="00000000" w:rsidRDefault="002C52A8"/>
    <w:p w:rsidR="00000000" w:rsidRDefault="002C52A8">
      <w:bookmarkStart w:id="26" w:name="sub_2001"/>
      <w:r>
        <w:t>1. В целях защиты сведений, включенных в реестры субъектов малого и среднего предпри</w:t>
      </w:r>
      <w:r>
        <w:t>нимательства - получателей поддержки, оказываемой федеральными органами исполнительной власти, органами исполнительной власти субъектов Российской Федерации, органами местного самоуправления, акционерным обществом "Федеральная корпорация по развитию малого</w:t>
      </w:r>
      <w:r>
        <w:t xml:space="preserve"> и среднего предпринимательства", его дочерними обществами, организациями, образующими инфраструктуру поддержки субъектов малого и среднего предпринимательства (далее соответственно - реестры, органы, Корпорация, организации, получатели поддержки), органы,</w:t>
      </w:r>
      <w:r>
        <w:t xml:space="preserve"> Корпорация, ее дочерние общества, организации обязаны:</w:t>
      </w:r>
    </w:p>
    <w:p w:rsidR="00000000" w:rsidRDefault="002C52A8">
      <w:bookmarkStart w:id="27" w:name="sub_20011"/>
      <w:bookmarkEnd w:id="26"/>
      <w:r>
        <w:t>а) вести электронные журналы учета операций по ведению реестров, выполненных с помощью информационной системы, включающей в себя средства программного обеспечения и отвечающей настоящ</w:t>
      </w:r>
      <w:r>
        <w:t>им Требованиям;</w:t>
      </w:r>
    </w:p>
    <w:p w:rsidR="00000000" w:rsidRDefault="002C52A8">
      <w:bookmarkStart w:id="28" w:name="sub_20012"/>
      <w:bookmarkEnd w:id="27"/>
      <w:r>
        <w:t>б) применять средства антивирусной защиты;</w:t>
      </w:r>
    </w:p>
    <w:p w:rsidR="00000000" w:rsidRDefault="002C52A8">
      <w:bookmarkStart w:id="29" w:name="sub_20013"/>
      <w:bookmarkEnd w:id="28"/>
      <w:r>
        <w:t>в) ограничивать доступ к техническим средствам, с помощью которых осуществляется ведение реестров;</w:t>
      </w:r>
    </w:p>
    <w:p w:rsidR="00000000" w:rsidRDefault="002C52A8">
      <w:bookmarkStart w:id="30" w:name="sub_20014"/>
      <w:bookmarkEnd w:id="29"/>
      <w:r>
        <w:t>г) формировать резервные копии реестров на э</w:t>
      </w:r>
      <w:r>
        <w:t>лектронных носителях, которые должны храниться в местах, исключающих их утрату одновременно с оригиналом;</w:t>
      </w:r>
    </w:p>
    <w:p w:rsidR="00000000" w:rsidRDefault="002C52A8">
      <w:bookmarkStart w:id="31" w:name="sub_20015"/>
      <w:bookmarkEnd w:id="30"/>
      <w:r>
        <w:t>д) сохранять целостность размещенных в реестрах сведений и обеспечивать их защиту от несанкционированного изменения и уничтожения.</w:t>
      </w:r>
    </w:p>
    <w:p w:rsidR="00000000" w:rsidRDefault="002C52A8">
      <w:bookmarkStart w:id="32" w:name="sub_2002"/>
      <w:bookmarkEnd w:id="31"/>
      <w:r>
        <w:t>2. Программные средства, с помощью которых осуществляется ведение реестра, должны в полной мере обеспечивать:</w:t>
      </w:r>
    </w:p>
    <w:p w:rsidR="00000000" w:rsidRDefault="002C52A8">
      <w:bookmarkStart w:id="33" w:name="sub_20021"/>
      <w:bookmarkEnd w:id="32"/>
      <w:r>
        <w:t xml:space="preserve">а) бесперебойное ведение реестра, защиту его информационных ресурсов от взлома и несанкционированного доступа, а </w:t>
      </w:r>
      <w:r>
        <w:t>также разграничение прав пользователей информационной системы;</w:t>
      </w:r>
    </w:p>
    <w:p w:rsidR="00000000" w:rsidRDefault="002C52A8">
      <w:bookmarkStart w:id="34" w:name="sub_20022"/>
      <w:bookmarkEnd w:id="33"/>
      <w:r>
        <w:t xml:space="preserve">б) свободный доступ пользователей к ознакомлению с размещенными в реестрах сведениями на основе распространенных веб-обозревателей, не требующих установки на </w:t>
      </w:r>
      <w:r>
        <w:lastRenderedPageBreak/>
        <w:t>компьютеры пользо</w:t>
      </w:r>
      <w:r>
        <w:t xml:space="preserve">вателей технологического и программного обеспечения, специально созданного для просмотра сведений реестров, размещенных на официальном сайте органа, Корпорации, ее дочернего общества, организации в информационно-телекоммуникационной сети "Интернет" (далее </w:t>
      </w:r>
      <w:r>
        <w:t>- официальный сайт);</w:t>
      </w:r>
    </w:p>
    <w:p w:rsidR="00000000" w:rsidRDefault="002C52A8">
      <w:bookmarkStart w:id="35" w:name="sub_20023"/>
      <w:bookmarkEnd w:id="34"/>
      <w:r>
        <w:t>в) доступ к разме</w:t>
      </w:r>
      <w:r>
        <w:t>щаемым в реестрах сведениям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трех;</w:t>
      </w:r>
    </w:p>
    <w:p w:rsidR="00000000" w:rsidRDefault="002C52A8">
      <w:bookmarkStart w:id="36" w:name="sub_20024"/>
      <w:bookmarkEnd w:id="35"/>
      <w:r>
        <w:t>г) поиск сведений о полу</w:t>
      </w:r>
      <w:r>
        <w:t>чателях поддержки;</w:t>
      </w:r>
    </w:p>
    <w:p w:rsidR="00000000" w:rsidRDefault="002C52A8">
      <w:bookmarkStart w:id="37" w:name="sub_20025"/>
      <w:bookmarkEnd w:id="36"/>
      <w:r>
        <w:t>д) формирование по запросу пользователя справки о наличии или отсутствии в реестре сведений о получателе поддержки.</w:t>
      </w:r>
    </w:p>
    <w:bookmarkEnd w:id="37"/>
    <w:p w:rsidR="00000000" w:rsidRDefault="002C52A8"/>
    <w:p w:rsidR="00000000" w:rsidRDefault="002C52A8">
      <w:pPr>
        <w:pStyle w:val="1"/>
      </w:pPr>
      <w:bookmarkStart w:id="38" w:name="sub_220"/>
      <w:r>
        <w:t>II. Требования к лингвистическим средствам</w:t>
      </w:r>
    </w:p>
    <w:bookmarkEnd w:id="38"/>
    <w:p w:rsidR="00000000" w:rsidRDefault="002C52A8"/>
    <w:p w:rsidR="00000000" w:rsidRDefault="002C52A8">
      <w:bookmarkStart w:id="39" w:name="sub_2003"/>
      <w:r>
        <w:t>3. Размещение сведений реес</w:t>
      </w:r>
      <w:r>
        <w:t>тров на официальных сайтах осуществляется на государственном языке Российской Федерации, а также может дополнительно осуществляться на государственных языках республик в составе Российской Федерации.</w:t>
      </w:r>
    </w:p>
    <w:p w:rsidR="00000000" w:rsidRDefault="002C52A8">
      <w:bookmarkStart w:id="40" w:name="sub_2004"/>
      <w:bookmarkEnd w:id="39"/>
      <w:r>
        <w:t>4. Использование латинских символов и бу</w:t>
      </w:r>
      <w:r>
        <w:t xml:space="preserve">кв при написании русских слов не допускается. Использование букв и символов иных языков, кроме указанных в </w:t>
      </w:r>
      <w:hyperlink w:anchor="sub_2003" w:history="1">
        <w:r>
          <w:rPr>
            <w:rStyle w:val="a4"/>
          </w:rPr>
          <w:t>пункте 3</w:t>
        </w:r>
      </w:hyperlink>
      <w:r>
        <w:t xml:space="preserve"> настоящих Требований, допускается только в случаях, когда в реестрах указываются наименования юридических лиц на и</w:t>
      </w:r>
      <w:r>
        <w:t>ностранном языке.</w:t>
      </w:r>
    </w:p>
    <w:bookmarkEnd w:id="40"/>
    <w:p w:rsidR="00000000" w:rsidRDefault="002C52A8"/>
    <w:p w:rsidR="00000000" w:rsidRDefault="002C52A8">
      <w:pPr>
        <w:pStyle w:val="1"/>
      </w:pPr>
      <w:bookmarkStart w:id="41" w:name="sub_230"/>
      <w:r>
        <w:t>III. Требования к правовым средствам</w:t>
      </w:r>
    </w:p>
    <w:bookmarkEnd w:id="41"/>
    <w:p w:rsidR="00000000" w:rsidRDefault="002C52A8"/>
    <w:p w:rsidR="00000000" w:rsidRDefault="002C52A8">
      <w:bookmarkStart w:id="42" w:name="sub_2005"/>
      <w:r>
        <w:t>5. Органы, Корпорация, ее дочерние общества, организации обязаны:</w:t>
      </w:r>
    </w:p>
    <w:p w:rsidR="00000000" w:rsidRDefault="002C52A8">
      <w:bookmarkStart w:id="43" w:name="sub_20051"/>
      <w:bookmarkEnd w:id="42"/>
      <w:r>
        <w:t xml:space="preserve">а) осуществлять ведение реестров в соответствии с требованиями, установленными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от 24 июля 2007 г. N 209-ФЗ "О развитии малого и среднего предпринимательства в Российской Федерации" (Собрание законодательства Российской Федерации, 2007, N 31, ст. 4006; 2008, N </w:t>
      </w:r>
      <w:r>
        <w:t>30, ст. 3615, 3616; 2009, N 31, ст. 3923, N 52, ст. 6441; 2010, N 28, ст. 3553; 2011, N 27, ст. 3880; N 50, ст. 7343; 2013, N 27, ст. 3436, 3477; N 30, ст. 4071; N 52, ст. 6961; 2015, N 27, ст. 3947; 2016, N 1, ст. 28; N 26, ст. 3891; N 27, ст. 4198) и нас</w:t>
      </w:r>
      <w:r>
        <w:t>тоящим приказом;</w:t>
      </w:r>
    </w:p>
    <w:p w:rsidR="00000000" w:rsidRDefault="002C52A8">
      <w:bookmarkStart w:id="44" w:name="sub_20052"/>
      <w:bookmarkEnd w:id="43"/>
      <w:r>
        <w:t xml:space="preserve">б) обеспечивать обработку персональных данных получателей поддержки в соответствии с </w:t>
      </w:r>
      <w:hyperlink r:id="rId18" w:history="1">
        <w:r>
          <w:rPr>
            <w:rStyle w:val="a4"/>
          </w:rPr>
          <w:t>Федеральным законом</w:t>
        </w:r>
      </w:hyperlink>
      <w:r>
        <w:t xml:space="preserve"> от 27 июля 2006 г. N 152-ФЗ "О персональных данных" (С</w:t>
      </w:r>
      <w:r>
        <w:t>обрание законодательства Российской Федерации, 2006, N 31, ст. 3451; 2009, N 48, ст. 5716; 2011, N 23, ст. 3263; N 31, ст. 4701; 2013, N 14, ст. 1651; N 51, ст. 6683; 2014, N 23, ст. 2927; N 30, ст. 4217, 4243; 2016, N 27, ст. 4164; 2017, N 9, ст. 1276; N </w:t>
      </w:r>
      <w:r>
        <w:t>27, ст. 3945);</w:t>
      </w:r>
    </w:p>
    <w:p w:rsidR="00000000" w:rsidRDefault="002C52A8">
      <w:bookmarkStart w:id="45" w:name="sub_20053"/>
      <w:bookmarkEnd w:id="44"/>
      <w:r>
        <w:t xml:space="preserve">в) не допускать разглашение информации, доступ к которой ограничен в соответствии с </w:t>
      </w:r>
      <w:hyperlink r:id="rId1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45"/>
    <w:p w:rsidR="00000000" w:rsidRDefault="002C52A8"/>
    <w:p w:rsidR="00000000" w:rsidRDefault="002C52A8">
      <w:pPr>
        <w:pStyle w:val="1"/>
      </w:pPr>
      <w:bookmarkStart w:id="46" w:name="sub_240"/>
      <w:r>
        <w:t>IV. Требования к орг</w:t>
      </w:r>
      <w:r>
        <w:t>анизационным средствам</w:t>
      </w:r>
    </w:p>
    <w:bookmarkEnd w:id="46"/>
    <w:p w:rsidR="00000000" w:rsidRDefault="002C52A8"/>
    <w:p w:rsidR="00000000" w:rsidRDefault="002C52A8">
      <w:bookmarkStart w:id="47" w:name="sub_2006"/>
      <w:r>
        <w:t>6. В целях обеспечения пользования реестрами на официальном сайте органы, Корпорация, ее дочерние общества, организации обязаны размещать следующую информацию:</w:t>
      </w:r>
    </w:p>
    <w:p w:rsidR="00000000" w:rsidRDefault="002C52A8">
      <w:bookmarkStart w:id="48" w:name="sub_20061"/>
      <w:bookmarkEnd w:id="47"/>
      <w:r>
        <w:t>а) контактную информацию сотрудников соо</w:t>
      </w:r>
      <w:r>
        <w:t>тветственно органа, Корпорации, ее дочернего общества, организации, ответственных за доступ пользователей к сведениям реестров;</w:t>
      </w:r>
    </w:p>
    <w:p w:rsidR="00000000" w:rsidRDefault="002C52A8">
      <w:bookmarkStart w:id="49" w:name="sub_20062"/>
      <w:bookmarkEnd w:id="48"/>
      <w:r>
        <w:t xml:space="preserve">б) форму обратной связи для пользователей официального сайта, позволяющую направлять соответственно в органы, </w:t>
      </w:r>
      <w:r>
        <w:t>Корпорацию, ее дочерние общества, организации обращения, связанные с содержанием и ведением реестров, а также порядок заполнения указанной формы;</w:t>
      </w:r>
    </w:p>
    <w:p w:rsidR="00000000" w:rsidRDefault="002C52A8">
      <w:bookmarkStart w:id="50" w:name="sub_20063"/>
      <w:bookmarkEnd w:id="49"/>
      <w:r>
        <w:lastRenderedPageBreak/>
        <w:t>в) порядок предоставления получателем поддержки информации об изменении сведений, содержащих</w:t>
      </w:r>
      <w:r>
        <w:t>ся в реестрах.</w:t>
      </w:r>
    </w:p>
    <w:bookmarkEnd w:id="50"/>
    <w:p w:rsidR="002C52A8" w:rsidRDefault="002C52A8"/>
    <w:sectPr w:rsidR="002C52A8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52ED9"/>
    <w:rsid w:val="002C52A8"/>
    <w:rsid w:val="00C5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60901&amp;sub=0" TargetMode="External"/><Relationship Id="rId13" Type="http://schemas.openxmlformats.org/officeDocument/2006/relationships/hyperlink" Target="http://ivo.garant.ru/document?id=12054854&amp;sub=1601" TargetMode="External"/><Relationship Id="rId18" Type="http://schemas.openxmlformats.org/officeDocument/2006/relationships/hyperlink" Target="http://ivo.garant.ru/document?id=12048567&amp;sub=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vo.garant.ru/document?id=12060901&amp;sub=1522835" TargetMode="External"/><Relationship Id="rId12" Type="http://schemas.openxmlformats.org/officeDocument/2006/relationships/hyperlink" Target="http://ivo.garant.ru/document?id=12037300&amp;sub=400" TargetMode="External"/><Relationship Id="rId17" Type="http://schemas.openxmlformats.org/officeDocument/2006/relationships/hyperlink" Target="http://ivo.garant.ru/document?id=12054854&amp;sub=8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12012509&amp;sub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54854&amp;sub=84" TargetMode="External"/><Relationship Id="rId11" Type="http://schemas.openxmlformats.org/officeDocument/2006/relationships/hyperlink" Target="http://ivo.garant.ru/document?id=12084522&amp;sub=54" TargetMode="External"/><Relationship Id="rId5" Type="http://schemas.openxmlformats.org/officeDocument/2006/relationships/hyperlink" Target="http://ivo.garant.ru/document?id=71643380&amp;sub=0" TargetMode="External"/><Relationship Id="rId15" Type="http://schemas.openxmlformats.org/officeDocument/2006/relationships/hyperlink" Target="http://ivo.garant.ru/document?id=12025268&amp;sub=5" TargetMode="External"/><Relationship Id="rId10" Type="http://schemas.openxmlformats.org/officeDocument/2006/relationships/hyperlink" Target="http://ivo.garant.ru/document?id=12054854&amp;sub=82" TargetMode="External"/><Relationship Id="rId19" Type="http://schemas.openxmlformats.org/officeDocument/2006/relationships/hyperlink" Target="http://ivo.garant.ru/document?id=12048555&amp;sub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48555&amp;sub=0" TargetMode="External"/><Relationship Id="rId14" Type="http://schemas.openxmlformats.org/officeDocument/2006/relationships/hyperlink" Target="http://ivo.garant.ru/document?id=1206161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2781</Words>
  <Characters>15858</Characters>
  <Application>Microsoft Office Word</Application>
  <DocSecurity>0</DocSecurity>
  <Lines>132</Lines>
  <Paragraphs>37</Paragraphs>
  <ScaleCrop>false</ScaleCrop>
  <Company>НПП "Гарант-Сервис"</Company>
  <LinksUpToDate>false</LinksUpToDate>
  <CharactersWithSpaces>18602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2019-11-11T05:35:00Z</dcterms:created>
  <dcterms:modified xsi:type="dcterms:W3CDTF">2019-11-11T05:35:00Z</dcterms:modified>
</cp:coreProperties>
</file>